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B30" w:rsidRPr="00306928" w:rsidRDefault="00415B30" w:rsidP="00415B30">
      <w:pPr>
        <w:jc w:val="center"/>
        <w:rPr>
          <w:rFonts w:ascii="Times New Roman" w:hAnsi="Times New Roman"/>
          <w:b/>
          <w:sz w:val="22"/>
          <w:szCs w:val="22"/>
        </w:rPr>
      </w:pPr>
      <w:r w:rsidRPr="00306928">
        <w:rPr>
          <w:rFonts w:ascii="Times New Roman" w:hAnsi="Times New Roman"/>
          <w:b/>
          <w:sz w:val="22"/>
          <w:szCs w:val="22"/>
        </w:rPr>
        <w:t>AIC Consultant Selection Criteria</w:t>
      </w:r>
    </w:p>
    <w:p w:rsidR="00415B30" w:rsidRPr="00AC29E2" w:rsidRDefault="00415B30" w:rsidP="00415B30">
      <w:pPr>
        <w:spacing w:before="0" w:line="240" w:lineRule="auto"/>
        <w:rPr>
          <w:rFonts w:ascii="Times New Roman" w:hAnsi="Times New Roman"/>
          <w:sz w:val="22"/>
          <w:szCs w:val="22"/>
        </w:rPr>
      </w:pPr>
      <w:r w:rsidRPr="00AC29E2">
        <w:rPr>
          <w:rFonts w:ascii="Times New Roman" w:hAnsi="Times New Roman"/>
          <w:sz w:val="22"/>
          <w:szCs w:val="22"/>
        </w:rPr>
        <w:t xml:space="preserve">The following criteria should be considered in selection of an external consultant: </w:t>
      </w:r>
    </w:p>
    <w:p w:rsidR="00415B30" w:rsidRPr="00AC29E2" w:rsidRDefault="00415B30" w:rsidP="00415B30">
      <w:pPr>
        <w:numPr>
          <w:ilvl w:val="0"/>
          <w:numId w:val="2"/>
        </w:numPr>
        <w:spacing w:before="0" w:line="240" w:lineRule="auto"/>
        <w:rPr>
          <w:rFonts w:ascii="Times New Roman" w:hAnsi="Times New Roman"/>
          <w:sz w:val="22"/>
          <w:szCs w:val="22"/>
        </w:rPr>
      </w:pPr>
      <w:r w:rsidRPr="00AC29E2">
        <w:rPr>
          <w:rFonts w:ascii="Times New Roman" w:hAnsi="Times New Roman"/>
          <w:sz w:val="22"/>
          <w:szCs w:val="22"/>
        </w:rPr>
        <w:t>Conflict of Interest:  There must be no conflict of interest or appearance of a conflict of interest with the institution under review.  There is a conflict of interest when the potential consultant:</w:t>
      </w:r>
    </w:p>
    <w:p w:rsidR="00415B30" w:rsidRPr="00AC29E2" w:rsidRDefault="00415B30" w:rsidP="00415B30">
      <w:pPr>
        <w:numPr>
          <w:ilvl w:val="1"/>
          <w:numId w:val="2"/>
        </w:numPr>
        <w:spacing w:before="0" w:after="0" w:line="240" w:lineRule="auto"/>
        <w:rPr>
          <w:rFonts w:ascii="Times New Roman" w:hAnsi="Times New Roman"/>
          <w:sz w:val="22"/>
          <w:szCs w:val="22"/>
        </w:rPr>
      </w:pPr>
      <w:r>
        <w:rPr>
          <w:rFonts w:ascii="Times New Roman" w:hAnsi="Times New Roman"/>
          <w:sz w:val="22"/>
          <w:szCs w:val="22"/>
        </w:rPr>
        <w:t>i</w:t>
      </w:r>
      <w:r w:rsidRPr="00AC29E2">
        <w:rPr>
          <w:rFonts w:ascii="Times New Roman" w:hAnsi="Times New Roman"/>
          <w:sz w:val="22"/>
          <w:szCs w:val="22"/>
        </w:rPr>
        <w:t>s a present or former employee, student, member of the governing board, owner or shareholder of, or consultant to, the institution that is seeking program approval;</w:t>
      </w:r>
    </w:p>
    <w:p w:rsidR="00415B30" w:rsidRPr="00AC29E2" w:rsidRDefault="00415B30" w:rsidP="00415B30">
      <w:pPr>
        <w:numPr>
          <w:ilvl w:val="1"/>
          <w:numId w:val="2"/>
        </w:numPr>
        <w:spacing w:before="0" w:after="0" w:line="240" w:lineRule="auto"/>
        <w:rPr>
          <w:rFonts w:ascii="Times New Roman" w:hAnsi="Times New Roman"/>
          <w:sz w:val="22"/>
          <w:szCs w:val="22"/>
        </w:rPr>
      </w:pPr>
      <w:r>
        <w:rPr>
          <w:rFonts w:ascii="Times New Roman" w:hAnsi="Times New Roman"/>
          <w:sz w:val="22"/>
          <w:szCs w:val="22"/>
        </w:rPr>
        <w:t>i</w:t>
      </w:r>
      <w:r w:rsidRPr="00AC29E2">
        <w:rPr>
          <w:rFonts w:ascii="Times New Roman" w:hAnsi="Times New Roman"/>
          <w:sz w:val="22"/>
          <w:szCs w:val="22"/>
        </w:rPr>
        <w:t>s a spouse, parent, child, or sibling of an individual or persons listed in (a) above;</w:t>
      </w:r>
    </w:p>
    <w:p w:rsidR="00415B30" w:rsidRPr="00AC29E2" w:rsidRDefault="00415B30" w:rsidP="00415B30">
      <w:pPr>
        <w:numPr>
          <w:ilvl w:val="1"/>
          <w:numId w:val="2"/>
        </w:numPr>
        <w:spacing w:before="0" w:after="0" w:line="240" w:lineRule="auto"/>
        <w:rPr>
          <w:rFonts w:ascii="Times New Roman" w:hAnsi="Times New Roman"/>
          <w:sz w:val="22"/>
          <w:szCs w:val="22"/>
        </w:rPr>
      </w:pPr>
      <w:r>
        <w:rPr>
          <w:rFonts w:ascii="Times New Roman" w:hAnsi="Times New Roman"/>
          <w:sz w:val="22"/>
          <w:szCs w:val="22"/>
        </w:rPr>
        <w:t>i</w:t>
      </w:r>
      <w:r w:rsidRPr="00AC29E2">
        <w:rPr>
          <w:rFonts w:ascii="Times New Roman" w:hAnsi="Times New Roman"/>
          <w:sz w:val="22"/>
          <w:szCs w:val="22"/>
        </w:rPr>
        <w:t>s seeking or being sought for employment or other relationship with the institution under review;</w:t>
      </w:r>
    </w:p>
    <w:p w:rsidR="00415B30" w:rsidRPr="00AC29E2" w:rsidRDefault="00415B30" w:rsidP="00415B30">
      <w:pPr>
        <w:numPr>
          <w:ilvl w:val="1"/>
          <w:numId w:val="2"/>
        </w:numPr>
        <w:spacing w:before="0" w:after="0" w:line="240" w:lineRule="auto"/>
        <w:rPr>
          <w:rFonts w:ascii="Times New Roman" w:hAnsi="Times New Roman"/>
          <w:sz w:val="22"/>
          <w:szCs w:val="22"/>
        </w:rPr>
      </w:pPr>
      <w:r w:rsidRPr="00AC29E2">
        <w:rPr>
          <w:rFonts w:ascii="Times New Roman" w:hAnsi="Times New Roman"/>
          <w:sz w:val="22"/>
          <w:szCs w:val="22"/>
        </w:rPr>
        <w:t>has a personal or professional relationship with the institution under review that might compromise objectivity; and/or</w:t>
      </w:r>
    </w:p>
    <w:p w:rsidR="00415B30" w:rsidRDefault="00415B30" w:rsidP="00415B30">
      <w:pPr>
        <w:numPr>
          <w:ilvl w:val="1"/>
          <w:numId w:val="2"/>
        </w:numPr>
        <w:spacing w:before="0" w:after="0" w:line="240" w:lineRule="auto"/>
        <w:rPr>
          <w:rFonts w:ascii="Times New Roman" w:hAnsi="Times New Roman"/>
          <w:sz w:val="22"/>
          <w:szCs w:val="22"/>
        </w:rPr>
      </w:pPr>
      <w:proofErr w:type="gramStart"/>
      <w:r w:rsidRPr="00AC29E2">
        <w:rPr>
          <w:rFonts w:ascii="Times New Roman" w:hAnsi="Times New Roman"/>
          <w:sz w:val="22"/>
          <w:szCs w:val="22"/>
        </w:rPr>
        <w:t>has</w:t>
      </w:r>
      <w:proofErr w:type="gramEnd"/>
      <w:r w:rsidRPr="00AC29E2">
        <w:rPr>
          <w:rFonts w:ascii="Times New Roman" w:hAnsi="Times New Roman"/>
          <w:sz w:val="22"/>
          <w:szCs w:val="22"/>
        </w:rPr>
        <w:t xml:space="preserve"> a competitive relationship with the institution that might compromise objectivity.</w:t>
      </w:r>
    </w:p>
    <w:p w:rsidR="00415B30" w:rsidRPr="00AC29E2" w:rsidRDefault="00415B30" w:rsidP="00415B30">
      <w:pPr>
        <w:spacing w:before="0" w:after="0" w:line="240" w:lineRule="auto"/>
        <w:ind w:left="1440"/>
        <w:rPr>
          <w:rFonts w:ascii="Times New Roman" w:hAnsi="Times New Roman"/>
          <w:sz w:val="22"/>
          <w:szCs w:val="22"/>
        </w:rPr>
      </w:pPr>
    </w:p>
    <w:p w:rsidR="00415B30" w:rsidRPr="00AC29E2" w:rsidRDefault="00415B30" w:rsidP="00415B30">
      <w:pPr>
        <w:spacing w:before="0" w:line="240" w:lineRule="auto"/>
        <w:ind w:left="720"/>
        <w:rPr>
          <w:rFonts w:ascii="Times New Roman" w:hAnsi="Times New Roman"/>
          <w:sz w:val="22"/>
          <w:szCs w:val="22"/>
        </w:rPr>
      </w:pPr>
      <w:r>
        <w:rPr>
          <w:rFonts w:ascii="Times New Roman" w:hAnsi="Times New Roman"/>
          <w:sz w:val="22"/>
          <w:szCs w:val="22"/>
        </w:rPr>
        <w:t>There must be a five-</w:t>
      </w:r>
      <w:r w:rsidRPr="00AC29E2">
        <w:rPr>
          <w:rFonts w:ascii="Times New Roman" w:hAnsi="Times New Roman"/>
          <w:sz w:val="22"/>
          <w:szCs w:val="22"/>
        </w:rPr>
        <w:t>year period between the end of the relationship and any engagement with the institution to serve as a consultant.  (The only exception to this restriction is that the institution can hire the consultant to review additional programs within the five year period.)</w:t>
      </w:r>
    </w:p>
    <w:p w:rsidR="00415B30" w:rsidRDefault="00415B30" w:rsidP="00415B30">
      <w:pPr>
        <w:numPr>
          <w:ilvl w:val="0"/>
          <w:numId w:val="2"/>
        </w:numPr>
        <w:spacing w:before="0" w:after="0" w:line="240" w:lineRule="auto"/>
        <w:rPr>
          <w:rFonts w:ascii="Times New Roman" w:hAnsi="Times New Roman"/>
          <w:sz w:val="22"/>
          <w:szCs w:val="22"/>
        </w:rPr>
      </w:pPr>
      <w:r w:rsidRPr="00AC29E2">
        <w:rPr>
          <w:rFonts w:ascii="Times New Roman" w:hAnsi="Times New Roman"/>
          <w:sz w:val="22"/>
          <w:szCs w:val="22"/>
        </w:rPr>
        <w:t>Appropriate terminal degree in relevant field from an accredited institution.</w:t>
      </w:r>
    </w:p>
    <w:p w:rsidR="00415B30" w:rsidRPr="00AC29E2" w:rsidRDefault="00415B30" w:rsidP="00415B30">
      <w:pPr>
        <w:spacing w:before="0" w:after="0" w:line="240" w:lineRule="auto"/>
        <w:ind w:left="720"/>
        <w:rPr>
          <w:rFonts w:ascii="Times New Roman" w:hAnsi="Times New Roman"/>
          <w:sz w:val="22"/>
          <w:szCs w:val="22"/>
        </w:rPr>
      </w:pPr>
    </w:p>
    <w:p w:rsidR="00415B30" w:rsidRDefault="00415B30" w:rsidP="00415B30">
      <w:pPr>
        <w:numPr>
          <w:ilvl w:val="0"/>
          <w:numId w:val="2"/>
        </w:numPr>
        <w:spacing w:before="0" w:after="0" w:line="240" w:lineRule="auto"/>
        <w:rPr>
          <w:rFonts w:ascii="Times New Roman" w:hAnsi="Times New Roman"/>
          <w:sz w:val="22"/>
          <w:szCs w:val="22"/>
        </w:rPr>
      </w:pPr>
      <w:r w:rsidRPr="00AC29E2">
        <w:rPr>
          <w:rFonts w:ascii="Times New Roman" w:hAnsi="Times New Roman"/>
          <w:sz w:val="22"/>
          <w:szCs w:val="22"/>
        </w:rPr>
        <w:t>Academic or appropriate professional experience (administration and/or teaching) in the field.</w:t>
      </w:r>
    </w:p>
    <w:p w:rsidR="00415B30" w:rsidRPr="00AC29E2" w:rsidRDefault="00415B30" w:rsidP="00415B30">
      <w:pPr>
        <w:spacing w:before="0" w:after="0" w:line="240" w:lineRule="auto"/>
        <w:rPr>
          <w:rFonts w:ascii="Times New Roman" w:hAnsi="Times New Roman"/>
          <w:sz w:val="22"/>
          <w:szCs w:val="22"/>
        </w:rPr>
      </w:pPr>
    </w:p>
    <w:p w:rsidR="00415B30" w:rsidRPr="00AC29E2" w:rsidRDefault="00415B30" w:rsidP="00415B30">
      <w:pPr>
        <w:numPr>
          <w:ilvl w:val="0"/>
          <w:numId w:val="2"/>
        </w:numPr>
        <w:spacing w:before="0" w:after="0" w:line="240" w:lineRule="auto"/>
        <w:rPr>
          <w:rFonts w:ascii="Times New Roman" w:hAnsi="Times New Roman"/>
          <w:sz w:val="22"/>
          <w:szCs w:val="22"/>
        </w:rPr>
      </w:pPr>
      <w:r w:rsidRPr="00AC29E2">
        <w:rPr>
          <w:rFonts w:ascii="Times New Roman" w:hAnsi="Times New Roman"/>
          <w:sz w:val="22"/>
          <w:szCs w:val="22"/>
        </w:rPr>
        <w:t>Research experience (where appropriate)</w:t>
      </w:r>
      <w:r>
        <w:rPr>
          <w:rFonts w:ascii="Times New Roman" w:hAnsi="Times New Roman"/>
          <w:sz w:val="22"/>
          <w:szCs w:val="22"/>
        </w:rPr>
        <w:t>:</w:t>
      </w:r>
    </w:p>
    <w:p w:rsidR="00415B30" w:rsidRDefault="00415B30" w:rsidP="00415B30">
      <w:pPr>
        <w:numPr>
          <w:ilvl w:val="1"/>
          <w:numId w:val="2"/>
        </w:numPr>
        <w:spacing w:before="0" w:after="0" w:line="240" w:lineRule="auto"/>
        <w:rPr>
          <w:rFonts w:ascii="Times New Roman" w:hAnsi="Times New Roman"/>
          <w:sz w:val="22"/>
          <w:szCs w:val="22"/>
        </w:rPr>
      </w:pPr>
      <w:r>
        <w:rPr>
          <w:rFonts w:ascii="Times New Roman" w:hAnsi="Times New Roman"/>
          <w:sz w:val="22"/>
          <w:szCs w:val="22"/>
        </w:rPr>
        <w:t>Publications such as books and articles in referenced journals.</w:t>
      </w:r>
    </w:p>
    <w:p w:rsidR="00415B30" w:rsidRDefault="00415B30" w:rsidP="00415B30">
      <w:pPr>
        <w:numPr>
          <w:ilvl w:val="1"/>
          <w:numId w:val="2"/>
        </w:numPr>
        <w:spacing w:before="0" w:after="0" w:line="240" w:lineRule="auto"/>
        <w:rPr>
          <w:rFonts w:ascii="Times New Roman" w:hAnsi="Times New Roman"/>
          <w:sz w:val="22"/>
          <w:szCs w:val="22"/>
        </w:rPr>
      </w:pPr>
      <w:r>
        <w:rPr>
          <w:rFonts w:ascii="Times New Roman" w:hAnsi="Times New Roman"/>
          <w:sz w:val="22"/>
          <w:szCs w:val="22"/>
        </w:rPr>
        <w:t>Recipient of research grants from external funding sources such as government agencies and foundations.</w:t>
      </w:r>
    </w:p>
    <w:p w:rsidR="00415B30" w:rsidRPr="00AC29E2" w:rsidRDefault="00415B30" w:rsidP="00415B30">
      <w:pPr>
        <w:spacing w:before="0" w:after="0" w:line="240" w:lineRule="auto"/>
        <w:ind w:left="1440"/>
        <w:rPr>
          <w:rFonts w:ascii="Times New Roman" w:hAnsi="Times New Roman"/>
          <w:sz w:val="22"/>
          <w:szCs w:val="22"/>
        </w:rPr>
      </w:pPr>
    </w:p>
    <w:p w:rsidR="00415B30" w:rsidRDefault="00415B30" w:rsidP="00415B30">
      <w:pPr>
        <w:numPr>
          <w:ilvl w:val="0"/>
          <w:numId w:val="2"/>
        </w:numPr>
        <w:spacing w:before="0" w:after="0" w:line="240" w:lineRule="auto"/>
        <w:rPr>
          <w:rFonts w:ascii="Times New Roman" w:hAnsi="Times New Roman"/>
          <w:sz w:val="22"/>
          <w:szCs w:val="22"/>
        </w:rPr>
      </w:pPr>
      <w:r w:rsidRPr="00055994">
        <w:rPr>
          <w:rFonts w:ascii="Times New Roman" w:hAnsi="Times New Roman"/>
          <w:sz w:val="22"/>
          <w:szCs w:val="22"/>
        </w:rPr>
        <w:t>Appropriate professional experience in relevant field(s) if the program to be reviewed has professional orientation (e.g., engineering, social work, law).</w:t>
      </w:r>
    </w:p>
    <w:p w:rsidR="00415B30" w:rsidRPr="00055994" w:rsidRDefault="00415B30" w:rsidP="00415B30">
      <w:pPr>
        <w:spacing w:before="0" w:after="0" w:line="240" w:lineRule="auto"/>
        <w:ind w:left="720"/>
        <w:rPr>
          <w:rFonts w:ascii="Times New Roman" w:hAnsi="Times New Roman"/>
          <w:sz w:val="22"/>
          <w:szCs w:val="22"/>
        </w:rPr>
      </w:pPr>
    </w:p>
    <w:p w:rsidR="00415B30" w:rsidRDefault="00415B30" w:rsidP="00415B30">
      <w:pPr>
        <w:numPr>
          <w:ilvl w:val="0"/>
          <w:numId w:val="2"/>
        </w:numPr>
        <w:spacing w:before="0" w:after="0" w:line="240" w:lineRule="auto"/>
        <w:rPr>
          <w:rFonts w:ascii="Times New Roman" w:hAnsi="Times New Roman"/>
          <w:sz w:val="22"/>
          <w:szCs w:val="22"/>
        </w:rPr>
      </w:pPr>
      <w:r w:rsidRPr="00055994">
        <w:rPr>
          <w:rFonts w:ascii="Times New Roman" w:hAnsi="Times New Roman"/>
          <w:sz w:val="22"/>
          <w:szCs w:val="22"/>
        </w:rPr>
        <w:t>Knowledge of the state of the art of the field.</w:t>
      </w:r>
    </w:p>
    <w:p w:rsidR="00415B30" w:rsidRPr="00055994" w:rsidRDefault="00415B30" w:rsidP="00415B30">
      <w:pPr>
        <w:spacing w:before="0" w:after="0" w:line="240" w:lineRule="auto"/>
        <w:ind w:left="720"/>
        <w:rPr>
          <w:rFonts w:ascii="Times New Roman" w:hAnsi="Times New Roman"/>
          <w:sz w:val="22"/>
          <w:szCs w:val="22"/>
        </w:rPr>
      </w:pPr>
    </w:p>
    <w:p w:rsidR="00415B30" w:rsidRDefault="00415B30" w:rsidP="00415B30">
      <w:pPr>
        <w:numPr>
          <w:ilvl w:val="0"/>
          <w:numId w:val="2"/>
        </w:numPr>
        <w:spacing w:before="0" w:after="0" w:line="240" w:lineRule="auto"/>
        <w:rPr>
          <w:rFonts w:ascii="Times New Roman" w:hAnsi="Times New Roman"/>
          <w:sz w:val="22"/>
          <w:szCs w:val="22"/>
        </w:rPr>
      </w:pPr>
      <w:r w:rsidRPr="00AC29E2">
        <w:rPr>
          <w:rFonts w:ascii="Times New Roman" w:hAnsi="Times New Roman"/>
          <w:sz w:val="22"/>
          <w:szCs w:val="22"/>
        </w:rPr>
        <w:t>Familiarity with standards for academic programs developed by professional accrediting agencies.</w:t>
      </w:r>
    </w:p>
    <w:p w:rsidR="00415B30" w:rsidRPr="00673384" w:rsidRDefault="00415B30" w:rsidP="00415B30">
      <w:pPr>
        <w:spacing w:before="0" w:after="0" w:line="240" w:lineRule="auto"/>
        <w:rPr>
          <w:rFonts w:ascii="Times New Roman" w:hAnsi="Times New Roman"/>
          <w:sz w:val="22"/>
          <w:szCs w:val="22"/>
        </w:rPr>
      </w:pPr>
    </w:p>
    <w:p w:rsidR="00415B30" w:rsidRDefault="00415B30" w:rsidP="00415B30">
      <w:pPr>
        <w:numPr>
          <w:ilvl w:val="0"/>
          <w:numId w:val="2"/>
        </w:numPr>
        <w:spacing w:before="0" w:after="0" w:line="240" w:lineRule="auto"/>
        <w:rPr>
          <w:rFonts w:ascii="Times New Roman" w:hAnsi="Times New Roman"/>
          <w:sz w:val="22"/>
          <w:szCs w:val="22"/>
        </w:rPr>
      </w:pPr>
      <w:r w:rsidRPr="00673384">
        <w:rPr>
          <w:rFonts w:ascii="Times New Roman" w:hAnsi="Times New Roman"/>
          <w:sz w:val="22"/>
          <w:szCs w:val="22"/>
        </w:rPr>
        <w:t>Familiarity with existing programs.</w:t>
      </w:r>
    </w:p>
    <w:p w:rsidR="00415B30" w:rsidRDefault="00415B30" w:rsidP="00415B30">
      <w:pPr>
        <w:spacing w:before="0" w:after="0" w:line="240" w:lineRule="auto"/>
        <w:ind w:left="720"/>
        <w:rPr>
          <w:rFonts w:ascii="Times New Roman" w:hAnsi="Times New Roman"/>
          <w:sz w:val="22"/>
          <w:szCs w:val="22"/>
        </w:rPr>
      </w:pPr>
    </w:p>
    <w:p w:rsidR="00415B30" w:rsidRDefault="00415B30" w:rsidP="00415B30">
      <w:pPr>
        <w:numPr>
          <w:ilvl w:val="0"/>
          <w:numId w:val="2"/>
        </w:numPr>
        <w:spacing w:before="0" w:after="0" w:line="240" w:lineRule="auto"/>
        <w:rPr>
          <w:rFonts w:ascii="Times New Roman" w:hAnsi="Times New Roman"/>
          <w:sz w:val="22"/>
          <w:szCs w:val="22"/>
        </w:rPr>
      </w:pPr>
      <w:r>
        <w:rPr>
          <w:rFonts w:ascii="Times New Roman" w:hAnsi="Times New Roman"/>
          <w:sz w:val="22"/>
          <w:szCs w:val="22"/>
        </w:rPr>
        <w:t>Awareness of employment possibilities of graduates.</w:t>
      </w:r>
    </w:p>
    <w:p w:rsidR="00415B30" w:rsidRPr="00055994" w:rsidRDefault="00415B30" w:rsidP="00415B30">
      <w:pPr>
        <w:spacing w:before="0" w:after="0" w:line="240" w:lineRule="auto"/>
        <w:ind w:left="720"/>
        <w:rPr>
          <w:rFonts w:ascii="Times New Roman" w:hAnsi="Times New Roman"/>
          <w:sz w:val="22"/>
          <w:szCs w:val="22"/>
        </w:rPr>
      </w:pPr>
    </w:p>
    <w:p w:rsidR="00415B30" w:rsidRPr="00055994" w:rsidRDefault="00415B30" w:rsidP="00415B30">
      <w:pPr>
        <w:numPr>
          <w:ilvl w:val="0"/>
          <w:numId w:val="2"/>
        </w:numPr>
        <w:spacing w:before="0" w:line="240" w:lineRule="auto"/>
        <w:rPr>
          <w:rFonts w:ascii="Times New Roman" w:hAnsi="Times New Roman"/>
          <w:sz w:val="22"/>
          <w:szCs w:val="22"/>
        </w:rPr>
      </w:pPr>
      <w:r w:rsidRPr="00055994">
        <w:rPr>
          <w:rFonts w:ascii="Times New Roman" w:hAnsi="Times New Roman"/>
          <w:sz w:val="22"/>
          <w:szCs w:val="22"/>
        </w:rPr>
        <w:t>Knowledge of budgeting and financial matters – of critical importance if program to be reviewed would be expensive or represent a major shift in an institution’s educational mission.</w:t>
      </w:r>
    </w:p>
    <w:p w:rsidR="00415B30" w:rsidRDefault="00415B30" w:rsidP="00415B30">
      <w:pPr>
        <w:numPr>
          <w:ilvl w:val="0"/>
          <w:numId w:val="2"/>
        </w:numPr>
        <w:spacing w:before="0" w:after="0"/>
        <w:rPr>
          <w:rFonts w:ascii="Times New Roman" w:hAnsi="Times New Roman"/>
          <w:sz w:val="22"/>
          <w:szCs w:val="22"/>
        </w:rPr>
      </w:pPr>
      <w:r w:rsidRPr="00055994">
        <w:rPr>
          <w:rFonts w:ascii="Times New Roman" w:hAnsi="Times New Roman"/>
          <w:sz w:val="22"/>
          <w:szCs w:val="22"/>
        </w:rPr>
        <w:t>Experience in evaluating academic programs.</w:t>
      </w:r>
    </w:p>
    <w:p w:rsidR="00415B30" w:rsidRDefault="00415B30" w:rsidP="00415B30">
      <w:pPr>
        <w:spacing w:before="0" w:after="0"/>
        <w:ind w:left="720"/>
        <w:rPr>
          <w:rFonts w:ascii="Times New Roman" w:hAnsi="Times New Roman"/>
          <w:sz w:val="22"/>
          <w:szCs w:val="22"/>
        </w:rPr>
      </w:pPr>
    </w:p>
    <w:p w:rsidR="00415B30" w:rsidRPr="00055994" w:rsidRDefault="00415B30" w:rsidP="00415B30">
      <w:pPr>
        <w:numPr>
          <w:ilvl w:val="0"/>
          <w:numId w:val="2"/>
        </w:numPr>
        <w:spacing w:before="0" w:after="0"/>
        <w:rPr>
          <w:rFonts w:ascii="Times New Roman" w:hAnsi="Times New Roman"/>
          <w:sz w:val="22"/>
          <w:szCs w:val="22"/>
        </w:rPr>
      </w:pPr>
      <w:r>
        <w:rPr>
          <w:rFonts w:ascii="Times New Roman" w:hAnsi="Times New Roman"/>
          <w:sz w:val="22"/>
          <w:szCs w:val="22"/>
        </w:rPr>
        <w:t>Except in circumstances where specialized expertise is required, out-of-state consultants should be selected.</w:t>
      </w:r>
    </w:p>
    <w:p w:rsidR="00415B30" w:rsidRDefault="00415B30" w:rsidP="00415B30">
      <w:pPr>
        <w:spacing w:before="0" w:after="0" w:line="240" w:lineRule="auto"/>
        <w:rPr>
          <w:rFonts w:ascii="Times New Roman" w:hAnsi="Times New Roman"/>
          <w:sz w:val="22"/>
          <w:szCs w:val="22"/>
        </w:rPr>
      </w:pPr>
    </w:p>
    <w:p w:rsidR="00415B30" w:rsidRDefault="00415B30" w:rsidP="00415B30">
      <w:pPr>
        <w:spacing w:before="0" w:after="0" w:line="240" w:lineRule="auto"/>
        <w:ind w:left="720"/>
        <w:rPr>
          <w:rFonts w:ascii="Times New Roman" w:hAnsi="Times New Roman"/>
          <w:sz w:val="22"/>
          <w:szCs w:val="22"/>
        </w:rPr>
      </w:pPr>
    </w:p>
    <w:p w:rsidR="00415B30" w:rsidRDefault="00415B30" w:rsidP="00415B30">
      <w:pPr>
        <w:numPr>
          <w:ilvl w:val="0"/>
          <w:numId w:val="5"/>
        </w:numPr>
        <w:spacing w:before="0" w:after="0" w:line="240" w:lineRule="auto"/>
        <w:rPr>
          <w:rFonts w:ascii="Times New Roman" w:hAnsi="Times New Roman"/>
          <w:sz w:val="22"/>
          <w:szCs w:val="22"/>
        </w:rPr>
      </w:pPr>
      <w:r>
        <w:rPr>
          <w:rFonts w:ascii="Times New Roman" w:hAnsi="Times New Roman"/>
          <w:sz w:val="22"/>
          <w:szCs w:val="22"/>
        </w:rPr>
        <w:lastRenderedPageBreak/>
        <w:t>Send the Program Announcement along with the Consultant’s CV to the Presidents of New Jersey Colleges and Universities for a 30 day review.</w:t>
      </w:r>
    </w:p>
    <w:p w:rsidR="00415B30" w:rsidRDefault="00415B30" w:rsidP="00415B30">
      <w:pPr>
        <w:spacing w:before="0" w:after="0" w:line="240" w:lineRule="auto"/>
        <w:rPr>
          <w:rFonts w:ascii="Times New Roman" w:hAnsi="Times New Roman"/>
          <w:sz w:val="22"/>
          <w:szCs w:val="22"/>
        </w:rPr>
      </w:pPr>
    </w:p>
    <w:p w:rsidR="00415B30" w:rsidRDefault="00415B30" w:rsidP="00415B30">
      <w:pPr>
        <w:spacing w:before="0" w:after="0" w:line="240" w:lineRule="auto"/>
        <w:ind w:left="720"/>
        <w:rPr>
          <w:rFonts w:ascii="Times New Roman" w:hAnsi="Times New Roman"/>
          <w:sz w:val="22"/>
          <w:szCs w:val="22"/>
        </w:rPr>
      </w:pPr>
      <w:r w:rsidRPr="00B92F8C">
        <w:rPr>
          <w:rFonts w:ascii="Times New Roman" w:hAnsi="Times New Roman"/>
          <w:sz w:val="22"/>
          <w:szCs w:val="22"/>
        </w:rPr>
        <w:t xml:space="preserve">The institution is responsible for distributing the PA to the presidents of New Jersey higher education institutions.  Institutions are provided the opportunity to comment on issues related to program duplication, cost, mission and related matters. </w:t>
      </w:r>
    </w:p>
    <w:p w:rsidR="00415B30" w:rsidRPr="00B92F8C" w:rsidRDefault="00415B30" w:rsidP="00415B30">
      <w:pPr>
        <w:spacing w:before="0" w:after="0" w:line="240" w:lineRule="auto"/>
        <w:ind w:left="720"/>
        <w:rPr>
          <w:rFonts w:ascii="Times New Roman" w:hAnsi="Times New Roman"/>
          <w:sz w:val="22"/>
          <w:szCs w:val="22"/>
        </w:rPr>
      </w:pPr>
      <w:r w:rsidRPr="00B92F8C">
        <w:rPr>
          <w:rFonts w:ascii="Times New Roman" w:hAnsi="Times New Roman"/>
          <w:sz w:val="22"/>
          <w:szCs w:val="22"/>
        </w:rPr>
        <w:t xml:space="preserve"> </w:t>
      </w:r>
    </w:p>
    <w:p w:rsidR="00415B30" w:rsidRDefault="00415B30" w:rsidP="00415B30">
      <w:pPr>
        <w:spacing w:before="0" w:after="0" w:line="240" w:lineRule="auto"/>
        <w:ind w:left="720"/>
        <w:rPr>
          <w:rFonts w:ascii="Times New Roman" w:hAnsi="Times New Roman"/>
          <w:sz w:val="22"/>
          <w:szCs w:val="22"/>
        </w:rPr>
      </w:pPr>
      <w:r w:rsidRPr="00B92F8C">
        <w:rPr>
          <w:rFonts w:ascii="Times New Roman" w:hAnsi="Times New Roman"/>
          <w:sz w:val="22"/>
          <w:szCs w:val="22"/>
        </w:rPr>
        <w:t>Objections must be communicated to the proposing institutions within thirty days of the postmarked mailing date.  They must be substantive and relate to matters of program duplication, available resources, and programmatic mission.</w:t>
      </w:r>
    </w:p>
    <w:p w:rsidR="00415B30" w:rsidRPr="00B92F8C" w:rsidRDefault="00415B30" w:rsidP="00415B30">
      <w:pPr>
        <w:spacing w:before="0" w:after="0" w:line="240" w:lineRule="auto"/>
        <w:ind w:left="360"/>
        <w:rPr>
          <w:rFonts w:ascii="Times New Roman" w:hAnsi="Times New Roman"/>
          <w:sz w:val="22"/>
          <w:szCs w:val="22"/>
        </w:rPr>
      </w:pPr>
    </w:p>
    <w:p w:rsidR="00415B30" w:rsidRPr="00B92F8C" w:rsidRDefault="00415B30" w:rsidP="00415B30">
      <w:pPr>
        <w:spacing w:before="0" w:after="0" w:line="240" w:lineRule="auto"/>
        <w:ind w:left="720"/>
        <w:rPr>
          <w:rFonts w:ascii="Times New Roman" w:hAnsi="Times New Roman"/>
          <w:sz w:val="22"/>
          <w:szCs w:val="22"/>
        </w:rPr>
      </w:pPr>
      <w:r w:rsidRPr="00B92F8C">
        <w:rPr>
          <w:rFonts w:ascii="Times New Roman" w:hAnsi="Times New Roman"/>
          <w:sz w:val="22"/>
          <w:szCs w:val="22"/>
        </w:rPr>
        <w:t>If objections are raised within the designated period, the proposing and objecting institutions should make every effort to resolve their differences informally in furtherance of the stated objective of institutional cooperation.  If the differences cannot be resolved in this manner, the documentation with respect to objections will become part of the material forwarded to the Presidents’ Council for review.</w:t>
      </w:r>
    </w:p>
    <w:p w:rsidR="00415B30" w:rsidRDefault="00415B30" w:rsidP="00415B30">
      <w:pPr>
        <w:spacing w:before="0" w:after="0" w:line="240" w:lineRule="auto"/>
        <w:rPr>
          <w:rFonts w:ascii="Times New Roman" w:hAnsi="Times New Roman"/>
          <w:sz w:val="22"/>
          <w:szCs w:val="22"/>
        </w:rPr>
      </w:pPr>
    </w:p>
    <w:p w:rsidR="00415B30" w:rsidRDefault="00415B30" w:rsidP="00415B30">
      <w:pPr>
        <w:numPr>
          <w:ilvl w:val="0"/>
          <w:numId w:val="5"/>
        </w:numPr>
        <w:spacing w:before="0" w:after="0" w:line="240" w:lineRule="auto"/>
        <w:rPr>
          <w:rFonts w:ascii="Times New Roman" w:hAnsi="Times New Roman"/>
          <w:sz w:val="22"/>
          <w:szCs w:val="22"/>
        </w:rPr>
      </w:pPr>
      <w:r>
        <w:rPr>
          <w:rFonts w:ascii="Times New Roman" w:hAnsi="Times New Roman"/>
          <w:sz w:val="22"/>
          <w:szCs w:val="22"/>
        </w:rPr>
        <w:t>Obtain internal approval of the new program (</w:t>
      </w:r>
      <w:hyperlink r:id="rId5" w:history="1">
        <w:r w:rsidRPr="00B06DA1">
          <w:rPr>
            <w:rStyle w:val="Hyperlink"/>
            <w:rFonts w:ascii="Times New Roman" w:hAnsi="Times New Roman"/>
            <w:sz w:val="22"/>
            <w:szCs w:val="22"/>
          </w:rPr>
          <w:t>Program Announcement</w:t>
        </w:r>
      </w:hyperlink>
      <w:r>
        <w:rPr>
          <w:rFonts w:ascii="Times New Roman" w:hAnsi="Times New Roman"/>
          <w:sz w:val="22"/>
          <w:szCs w:val="22"/>
        </w:rPr>
        <w:t xml:space="preserve"> template).</w:t>
      </w:r>
    </w:p>
    <w:p w:rsidR="00415B30" w:rsidRDefault="00415B30" w:rsidP="00415B30">
      <w:pPr>
        <w:spacing w:before="0" w:after="0" w:line="240" w:lineRule="auto"/>
        <w:ind w:left="720"/>
        <w:rPr>
          <w:rFonts w:ascii="Times New Roman" w:hAnsi="Times New Roman"/>
          <w:sz w:val="22"/>
          <w:szCs w:val="22"/>
        </w:rPr>
      </w:pPr>
    </w:p>
    <w:p w:rsidR="00415B30" w:rsidRDefault="00415B30" w:rsidP="00415B30">
      <w:pPr>
        <w:numPr>
          <w:ilvl w:val="0"/>
          <w:numId w:val="5"/>
        </w:numPr>
        <w:spacing w:before="0" w:after="0" w:line="240" w:lineRule="auto"/>
        <w:rPr>
          <w:rFonts w:ascii="Times New Roman" w:hAnsi="Times New Roman"/>
          <w:sz w:val="22"/>
          <w:szCs w:val="22"/>
        </w:rPr>
      </w:pPr>
      <w:r>
        <w:rPr>
          <w:rFonts w:ascii="Times New Roman" w:hAnsi="Times New Roman"/>
          <w:sz w:val="22"/>
          <w:szCs w:val="22"/>
        </w:rPr>
        <w:t>Prepare a Board of Trustee’s Resolution for approval.</w:t>
      </w:r>
    </w:p>
    <w:p w:rsidR="00415B30" w:rsidRDefault="00415B30" w:rsidP="00415B30">
      <w:pPr>
        <w:spacing w:before="0" w:after="0" w:line="240" w:lineRule="auto"/>
        <w:rPr>
          <w:rFonts w:ascii="Times New Roman" w:hAnsi="Times New Roman"/>
          <w:sz w:val="22"/>
          <w:szCs w:val="22"/>
        </w:rPr>
      </w:pPr>
    </w:p>
    <w:p w:rsidR="00415B30" w:rsidRDefault="00415B30" w:rsidP="00415B30">
      <w:pPr>
        <w:numPr>
          <w:ilvl w:val="0"/>
          <w:numId w:val="5"/>
        </w:numPr>
        <w:spacing w:before="0" w:after="0" w:line="240" w:lineRule="auto"/>
        <w:rPr>
          <w:rFonts w:ascii="Times New Roman" w:hAnsi="Times New Roman"/>
          <w:sz w:val="22"/>
          <w:szCs w:val="22"/>
        </w:rPr>
      </w:pPr>
      <w:r>
        <w:rPr>
          <w:rFonts w:ascii="Times New Roman" w:hAnsi="Times New Roman"/>
          <w:sz w:val="22"/>
          <w:szCs w:val="22"/>
        </w:rPr>
        <w:t>Compile the packet required to be sent to the AIC. See required documents and format below.  See AIC schedule for submission dates.</w:t>
      </w:r>
    </w:p>
    <w:p w:rsidR="00415B30" w:rsidRDefault="00415B30" w:rsidP="00415B30">
      <w:pPr>
        <w:spacing w:before="0" w:after="0" w:line="240" w:lineRule="auto"/>
        <w:rPr>
          <w:rFonts w:ascii="Times New Roman" w:hAnsi="Times New Roman"/>
          <w:sz w:val="22"/>
          <w:szCs w:val="22"/>
        </w:rPr>
      </w:pPr>
    </w:p>
    <w:p w:rsidR="00415B30" w:rsidRPr="00055994" w:rsidRDefault="00415B30" w:rsidP="00415B30">
      <w:pPr>
        <w:spacing w:before="0" w:after="0" w:line="240" w:lineRule="auto"/>
        <w:rPr>
          <w:rFonts w:ascii="Times New Roman" w:hAnsi="Times New Roman"/>
          <w:sz w:val="22"/>
          <w:szCs w:val="22"/>
        </w:rPr>
      </w:pPr>
      <w:r w:rsidRPr="00055994">
        <w:rPr>
          <w:rFonts w:ascii="Times New Roman" w:hAnsi="Times New Roman"/>
          <w:sz w:val="22"/>
          <w:szCs w:val="22"/>
        </w:rPr>
        <w:t>Required Documents</w:t>
      </w:r>
    </w:p>
    <w:p w:rsidR="00415B30" w:rsidRPr="00DC69EA" w:rsidRDefault="00415B30" w:rsidP="00415B30">
      <w:pPr>
        <w:numPr>
          <w:ilvl w:val="1"/>
          <w:numId w:val="1"/>
        </w:numPr>
        <w:spacing w:before="0" w:after="0" w:line="240" w:lineRule="auto"/>
        <w:rPr>
          <w:rFonts w:ascii="Times New Roman" w:hAnsi="Times New Roman"/>
          <w:sz w:val="22"/>
          <w:szCs w:val="22"/>
        </w:rPr>
      </w:pPr>
      <w:r w:rsidRPr="00DC69EA">
        <w:rPr>
          <w:rFonts w:ascii="Times New Roman" w:hAnsi="Times New Roman"/>
          <w:sz w:val="22"/>
          <w:szCs w:val="22"/>
        </w:rPr>
        <w:t>Program Announcement</w:t>
      </w:r>
    </w:p>
    <w:p w:rsidR="00415B30" w:rsidRPr="00DC69EA" w:rsidRDefault="00415B30" w:rsidP="00415B30">
      <w:pPr>
        <w:numPr>
          <w:ilvl w:val="1"/>
          <w:numId w:val="1"/>
        </w:numPr>
        <w:spacing w:before="0" w:after="0" w:line="240" w:lineRule="auto"/>
        <w:rPr>
          <w:rFonts w:ascii="Times New Roman" w:hAnsi="Times New Roman"/>
          <w:sz w:val="22"/>
          <w:szCs w:val="22"/>
        </w:rPr>
      </w:pPr>
      <w:r w:rsidRPr="00DC69EA">
        <w:rPr>
          <w:rFonts w:ascii="Times New Roman" w:hAnsi="Times New Roman"/>
          <w:sz w:val="22"/>
          <w:szCs w:val="22"/>
        </w:rPr>
        <w:t>Consultant’s Report</w:t>
      </w:r>
    </w:p>
    <w:p w:rsidR="00415B30" w:rsidRPr="00DC69EA" w:rsidRDefault="00415B30" w:rsidP="00415B30">
      <w:pPr>
        <w:numPr>
          <w:ilvl w:val="1"/>
          <w:numId w:val="1"/>
        </w:numPr>
        <w:spacing w:before="0" w:after="0" w:line="240" w:lineRule="auto"/>
        <w:rPr>
          <w:rFonts w:ascii="Times New Roman" w:hAnsi="Times New Roman"/>
          <w:sz w:val="22"/>
          <w:szCs w:val="22"/>
        </w:rPr>
      </w:pPr>
      <w:r w:rsidRPr="00DC69EA">
        <w:rPr>
          <w:rFonts w:ascii="Times New Roman" w:hAnsi="Times New Roman"/>
          <w:sz w:val="22"/>
          <w:szCs w:val="22"/>
        </w:rPr>
        <w:t>Consultant’s Curriculum Vitae</w:t>
      </w:r>
    </w:p>
    <w:p w:rsidR="00415B30" w:rsidRPr="00DC69EA" w:rsidRDefault="00415B30" w:rsidP="00415B30">
      <w:pPr>
        <w:numPr>
          <w:ilvl w:val="1"/>
          <w:numId w:val="1"/>
        </w:numPr>
        <w:spacing w:before="0" w:after="0" w:line="240" w:lineRule="auto"/>
        <w:rPr>
          <w:rFonts w:ascii="Times New Roman" w:hAnsi="Times New Roman"/>
          <w:sz w:val="22"/>
          <w:szCs w:val="22"/>
        </w:rPr>
      </w:pPr>
      <w:r w:rsidRPr="00DC69EA">
        <w:rPr>
          <w:rFonts w:ascii="Times New Roman" w:hAnsi="Times New Roman"/>
          <w:sz w:val="22"/>
          <w:szCs w:val="22"/>
        </w:rPr>
        <w:t>Institutional Response to Consultant’s Report</w:t>
      </w:r>
    </w:p>
    <w:p w:rsidR="00415B30" w:rsidRPr="00DC69EA" w:rsidRDefault="00415B30" w:rsidP="00415B30">
      <w:pPr>
        <w:numPr>
          <w:ilvl w:val="1"/>
          <w:numId w:val="1"/>
        </w:numPr>
        <w:spacing w:before="0" w:after="0" w:line="240" w:lineRule="auto"/>
        <w:rPr>
          <w:rFonts w:ascii="Times New Roman" w:hAnsi="Times New Roman"/>
          <w:sz w:val="22"/>
          <w:szCs w:val="22"/>
        </w:rPr>
      </w:pPr>
      <w:r w:rsidRPr="00DC69EA">
        <w:rPr>
          <w:rFonts w:ascii="Times New Roman" w:hAnsi="Times New Roman"/>
          <w:sz w:val="22"/>
          <w:szCs w:val="22"/>
        </w:rPr>
        <w:t>Board of Trustees Resolution</w:t>
      </w:r>
    </w:p>
    <w:p w:rsidR="00415B30" w:rsidRPr="00DC69EA" w:rsidRDefault="00415B30" w:rsidP="00415B30">
      <w:pPr>
        <w:numPr>
          <w:ilvl w:val="1"/>
          <w:numId w:val="1"/>
        </w:numPr>
        <w:spacing w:before="0" w:after="0" w:line="240" w:lineRule="auto"/>
        <w:rPr>
          <w:rFonts w:ascii="Times New Roman" w:hAnsi="Times New Roman"/>
          <w:sz w:val="22"/>
          <w:szCs w:val="22"/>
        </w:rPr>
      </w:pPr>
      <w:r w:rsidRPr="00DC69EA">
        <w:rPr>
          <w:rFonts w:ascii="Times New Roman" w:hAnsi="Times New Roman"/>
          <w:sz w:val="22"/>
          <w:szCs w:val="22"/>
        </w:rPr>
        <w:t xml:space="preserve">Institutional Responses </w:t>
      </w:r>
    </w:p>
    <w:p w:rsidR="00415B30" w:rsidRPr="00DC69EA" w:rsidRDefault="00415B30" w:rsidP="00415B30">
      <w:pPr>
        <w:numPr>
          <w:ilvl w:val="1"/>
          <w:numId w:val="1"/>
        </w:numPr>
        <w:spacing w:before="0" w:after="0" w:line="240" w:lineRule="auto"/>
        <w:rPr>
          <w:rFonts w:ascii="Times New Roman" w:hAnsi="Times New Roman"/>
          <w:sz w:val="22"/>
          <w:szCs w:val="22"/>
        </w:rPr>
      </w:pPr>
      <w:r w:rsidRPr="00DC69EA">
        <w:rPr>
          <w:rFonts w:ascii="Times New Roman" w:hAnsi="Times New Roman"/>
          <w:sz w:val="22"/>
          <w:szCs w:val="22"/>
        </w:rPr>
        <w:t>Statement of “no” objections (if objections, then include objecting institutions, responses and information about reconciliation efforts)</w:t>
      </w:r>
    </w:p>
    <w:p w:rsidR="00415B30" w:rsidRPr="00DC69EA" w:rsidRDefault="00415B30" w:rsidP="00415B30">
      <w:pPr>
        <w:spacing w:before="0" w:after="0" w:line="240" w:lineRule="auto"/>
        <w:ind w:left="360"/>
        <w:rPr>
          <w:rFonts w:ascii="Times New Roman" w:hAnsi="Times New Roman"/>
          <w:sz w:val="22"/>
          <w:szCs w:val="22"/>
        </w:rPr>
      </w:pPr>
      <w:r w:rsidRPr="00DC69EA">
        <w:rPr>
          <w:rFonts w:ascii="Times New Roman" w:hAnsi="Times New Roman"/>
          <w:sz w:val="22"/>
          <w:szCs w:val="22"/>
        </w:rPr>
        <w:tab/>
      </w:r>
      <w:r w:rsidRPr="00DC69EA">
        <w:rPr>
          <w:rFonts w:ascii="Times New Roman" w:hAnsi="Times New Roman"/>
          <w:sz w:val="22"/>
          <w:szCs w:val="22"/>
        </w:rPr>
        <w:tab/>
      </w:r>
    </w:p>
    <w:p w:rsidR="00415B30" w:rsidRPr="00055994" w:rsidRDefault="00415B30" w:rsidP="00415B30">
      <w:pPr>
        <w:spacing w:before="0" w:after="0" w:line="240" w:lineRule="auto"/>
        <w:rPr>
          <w:rFonts w:ascii="Times New Roman" w:hAnsi="Times New Roman"/>
          <w:sz w:val="22"/>
          <w:szCs w:val="22"/>
        </w:rPr>
      </w:pPr>
      <w:r w:rsidRPr="00055994">
        <w:rPr>
          <w:rFonts w:ascii="Times New Roman" w:hAnsi="Times New Roman"/>
          <w:sz w:val="22"/>
          <w:szCs w:val="22"/>
        </w:rPr>
        <w:t>All program proposals should follow the following format:</w:t>
      </w:r>
    </w:p>
    <w:p w:rsidR="00415B30" w:rsidRPr="00055994" w:rsidRDefault="00415B30" w:rsidP="00415B30">
      <w:pPr>
        <w:numPr>
          <w:ilvl w:val="0"/>
          <w:numId w:val="3"/>
        </w:numPr>
        <w:spacing w:before="0" w:after="0" w:line="240" w:lineRule="auto"/>
        <w:rPr>
          <w:rFonts w:ascii="Times New Roman" w:hAnsi="Times New Roman"/>
          <w:sz w:val="22"/>
          <w:szCs w:val="22"/>
        </w:rPr>
      </w:pPr>
      <w:r w:rsidRPr="00055994">
        <w:rPr>
          <w:rFonts w:ascii="Times New Roman" w:hAnsi="Times New Roman"/>
          <w:sz w:val="22"/>
          <w:szCs w:val="22"/>
        </w:rPr>
        <w:t xml:space="preserve"> The proposal must be paginated throughout</w:t>
      </w:r>
    </w:p>
    <w:p w:rsidR="00415B30" w:rsidRPr="00055994" w:rsidRDefault="00415B30" w:rsidP="00415B30">
      <w:pPr>
        <w:numPr>
          <w:ilvl w:val="0"/>
          <w:numId w:val="3"/>
        </w:numPr>
        <w:spacing w:before="0" w:after="0" w:line="240" w:lineRule="auto"/>
        <w:rPr>
          <w:rFonts w:ascii="Times New Roman" w:hAnsi="Times New Roman"/>
          <w:sz w:val="22"/>
          <w:szCs w:val="22"/>
        </w:rPr>
      </w:pPr>
      <w:r w:rsidRPr="00055994">
        <w:rPr>
          <w:rFonts w:ascii="Times New Roman" w:hAnsi="Times New Roman"/>
          <w:sz w:val="22"/>
          <w:szCs w:val="22"/>
        </w:rPr>
        <w:t>There must be a Table of Contents</w:t>
      </w:r>
    </w:p>
    <w:p w:rsidR="00415B30" w:rsidRPr="00055994" w:rsidRDefault="00415B30" w:rsidP="00415B30">
      <w:pPr>
        <w:numPr>
          <w:ilvl w:val="0"/>
          <w:numId w:val="3"/>
        </w:numPr>
        <w:spacing w:before="0" w:after="0" w:line="240" w:lineRule="auto"/>
        <w:rPr>
          <w:rFonts w:ascii="Times New Roman" w:hAnsi="Times New Roman"/>
          <w:sz w:val="22"/>
          <w:szCs w:val="22"/>
        </w:rPr>
      </w:pPr>
      <w:r w:rsidRPr="00055994">
        <w:rPr>
          <w:rFonts w:ascii="Times New Roman" w:hAnsi="Times New Roman"/>
          <w:sz w:val="22"/>
          <w:szCs w:val="22"/>
        </w:rPr>
        <w:t>The order of the table should be the following:</w:t>
      </w:r>
    </w:p>
    <w:p w:rsidR="00415B30" w:rsidRPr="00055994" w:rsidRDefault="00415B30" w:rsidP="00415B30">
      <w:pPr>
        <w:numPr>
          <w:ilvl w:val="0"/>
          <w:numId w:val="4"/>
        </w:numPr>
        <w:spacing w:before="0" w:after="0" w:line="240" w:lineRule="auto"/>
        <w:rPr>
          <w:rFonts w:ascii="Times New Roman" w:hAnsi="Times New Roman"/>
          <w:sz w:val="22"/>
          <w:szCs w:val="22"/>
        </w:rPr>
      </w:pPr>
      <w:r w:rsidRPr="00055994">
        <w:rPr>
          <w:rFonts w:ascii="Times New Roman" w:hAnsi="Times New Roman"/>
          <w:sz w:val="22"/>
          <w:szCs w:val="22"/>
        </w:rPr>
        <w:t>New Program Checklist</w:t>
      </w:r>
      <w:r>
        <w:rPr>
          <w:rFonts w:ascii="Times New Roman" w:hAnsi="Times New Roman"/>
          <w:sz w:val="22"/>
          <w:szCs w:val="22"/>
        </w:rPr>
        <w:t xml:space="preserve"> – </w:t>
      </w:r>
      <w:hyperlink r:id="rId6" w:history="1">
        <w:r w:rsidRPr="00A0495C">
          <w:rPr>
            <w:rStyle w:val="Hyperlink"/>
            <w:rFonts w:ascii="Times New Roman" w:hAnsi="Times New Roman"/>
            <w:sz w:val="22"/>
            <w:szCs w:val="22"/>
          </w:rPr>
          <w:t>See AIC Manual</w:t>
        </w:r>
      </w:hyperlink>
    </w:p>
    <w:p w:rsidR="00415B30" w:rsidRPr="00055994" w:rsidRDefault="00415B30" w:rsidP="00415B30">
      <w:pPr>
        <w:numPr>
          <w:ilvl w:val="0"/>
          <w:numId w:val="4"/>
        </w:numPr>
        <w:spacing w:before="0" w:after="0" w:line="240" w:lineRule="auto"/>
        <w:rPr>
          <w:rFonts w:ascii="Times New Roman" w:hAnsi="Times New Roman"/>
          <w:sz w:val="22"/>
          <w:szCs w:val="22"/>
        </w:rPr>
      </w:pPr>
      <w:r w:rsidRPr="00055994">
        <w:rPr>
          <w:rFonts w:ascii="Times New Roman" w:hAnsi="Times New Roman"/>
          <w:sz w:val="22"/>
          <w:szCs w:val="22"/>
        </w:rPr>
        <w:t>Program Announcement Cover Page</w:t>
      </w:r>
    </w:p>
    <w:p w:rsidR="00415B30" w:rsidRPr="00055994" w:rsidRDefault="00415B30" w:rsidP="00415B30">
      <w:pPr>
        <w:numPr>
          <w:ilvl w:val="0"/>
          <w:numId w:val="4"/>
        </w:numPr>
        <w:spacing w:before="0" w:after="0" w:line="240" w:lineRule="auto"/>
        <w:rPr>
          <w:rFonts w:ascii="Times New Roman" w:hAnsi="Times New Roman"/>
          <w:sz w:val="22"/>
          <w:szCs w:val="22"/>
        </w:rPr>
      </w:pPr>
      <w:r w:rsidRPr="00055994">
        <w:rPr>
          <w:rFonts w:ascii="Times New Roman" w:hAnsi="Times New Roman"/>
          <w:sz w:val="22"/>
          <w:szCs w:val="22"/>
        </w:rPr>
        <w:t>Narrative Proposal</w:t>
      </w:r>
    </w:p>
    <w:p w:rsidR="00415B30" w:rsidRPr="00055994" w:rsidRDefault="00415B30" w:rsidP="00415B30">
      <w:pPr>
        <w:numPr>
          <w:ilvl w:val="3"/>
          <w:numId w:val="1"/>
        </w:numPr>
        <w:spacing w:before="0" w:after="0" w:line="240" w:lineRule="auto"/>
        <w:rPr>
          <w:rFonts w:ascii="Times New Roman" w:hAnsi="Times New Roman"/>
          <w:sz w:val="22"/>
          <w:szCs w:val="22"/>
        </w:rPr>
      </w:pPr>
      <w:r w:rsidRPr="00055994">
        <w:rPr>
          <w:rFonts w:ascii="Times New Roman" w:hAnsi="Times New Roman"/>
          <w:sz w:val="22"/>
          <w:szCs w:val="22"/>
        </w:rPr>
        <w:t>Program objectives</w:t>
      </w:r>
    </w:p>
    <w:p w:rsidR="00415B30" w:rsidRPr="00055994" w:rsidRDefault="00415B30" w:rsidP="00415B30">
      <w:pPr>
        <w:numPr>
          <w:ilvl w:val="3"/>
          <w:numId w:val="1"/>
        </w:numPr>
        <w:spacing w:before="0" w:after="0" w:line="240" w:lineRule="auto"/>
        <w:rPr>
          <w:rFonts w:ascii="Times New Roman" w:hAnsi="Times New Roman"/>
          <w:sz w:val="22"/>
          <w:szCs w:val="22"/>
        </w:rPr>
      </w:pPr>
      <w:r w:rsidRPr="00055994">
        <w:rPr>
          <w:rFonts w:ascii="Times New Roman" w:hAnsi="Times New Roman"/>
          <w:sz w:val="22"/>
          <w:szCs w:val="22"/>
        </w:rPr>
        <w:t>Evaluation and learning outcomes assessment plan</w:t>
      </w:r>
      <w:r>
        <w:rPr>
          <w:rFonts w:ascii="Times New Roman" w:hAnsi="Times New Roman"/>
          <w:sz w:val="22"/>
          <w:szCs w:val="22"/>
        </w:rPr>
        <w:t xml:space="preserve"> – </w:t>
      </w:r>
      <w:r w:rsidRPr="00A0495C">
        <w:rPr>
          <w:rFonts w:ascii="Times New Roman" w:hAnsi="Times New Roman"/>
          <w:b/>
          <w:sz w:val="22"/>
          <w:szCs w:val="22"/>
        </w:rPr>
        <w:t>see samples in</w:t>
      </w:r>
      <w:r>
        <w:rPr>
          <w:rFonts w:ascii="Times New Roman" w:hAnsi="Times New Roman"/>
          <w:sz w:val="22"/>
          <w:szCs w:val="22"/>
        </w:rPr>
        <w:t xml:space="preserve"> </w:t>
      </w:r>
      <w:hyperlink r:id="rId7" w:history="1">
        <w:r w:rsidRPr="00A0495C">
          <w:rPr>
            <w:rStyle w:val="Hyperlink"/>
            <w:rFonts w:ascii="Times New Roman" w:hAnsi="Times New Roman"/>
            <w:sz w:val="22"/>
            <w:szCs w:val="22"/>
          </w:rPr>
          <w:t>AIC Manual</w:t>
        </w:r>
      </w:hyperlink>
    </w:p>
    <w:p w:rsidR="00415B30" w:rsidRPr="00055994" w:rsidRDefault="00415B30" w:rsidP="00415B30">
      <w:pPr>
        <w:numPr>
          <w:ilvl w:val="3"/>
          <w:numId w:val="1"/>
        </w:numPr>
        <w:spacing w:before="0" w:after="0" w:line="240" w:lineRule="auto"/>
        <w:rPr>
          <w:rFonts w:ascii="Times New Roman" w:hAnsi="Times New Roman"/>
          <w:sz w:val="22"/>
          <w:szCs w:val="22"/>
        </w:rPr>
      </w:pPr>
      <w:r w:rsidRPr="00055994">
        <w:rPr>
          <w:rFonts w:ascii="Times New Roman" w:hAnsi="Times New Roman"/>
          <w:sz w:val="22"/>
          <w:szCs w:val="22"/>
        </w:rPr>
        <w:t>Relationship to Institutional Strategic Plan and Impact on its own Offerings</w:t>
      </w:r>
    </w:p>
    <w:p w:rsidR="00415B30" w:rsidRPr="00055994" w:rsidRDefault="00415B30" w:rsidP="00415B30">
      <w:pPr>
        <w:numPr>
          <w:ilvl w:val="3"/>
          <w:numId w:val="1"/>
        </w:numPr>
        <w:spacing w:before="0" w:after="0" w:line="240" w:lineRule="auto"/>
        <w:rPr>
          <w:rFonts w:ascii="Times New Roman" w:hAnsi="Times New Roman"/>
          <w:sz w:val="22"/>
          <w:szCs w:val="22"/>
        </w:rPr>
      </w:pPr>
      <w:r w:rsidRPr="00055994">
        <w:rPr>
          <w:rFonts w:ascii="Times New Roman" w:hAnsi="Times New Roman"/>
          <w:sz w:val="22"/>
          <w:szCs w:val="22"/>
        </w:rPr>
        <w:t>Need</w:t>
      </w:r>
    </w:p>
    <w:p w:rsidR="00415B30" w:rsidRPr="00055994" w:rsidRDefault="00415B30" w:rsidP="00415B30">
      <w:pPr>
        <w:numPr>
          <w:ilvl w:val="3"/>
          <w:numId w:val="1"/>
        </w:numPr>
        <w:spacing w:before="0" w:after="0" w:line="240" w:lineRule="auto"/>
        <w:rPr>
          <w:rFonts w:ascii="Times New Roman" w:hAnsi="Times New Roman"/>
          <w:sz w:val="22"/>
          <w:szCs w:val="22"/>
        </w:rPr>
      </w:pPr>
      <w:r w:rsidRPr="00055994">
        <w:rPr>
          <w:rFonts w:ascii="Times New Roman" w:hAnsi="Times New Roman"/>
          <w:sz w:val="22"/>
          <w:szCs w:val="22"/>
        </w:rPr>
        <w:t>Students</w:t>
      </w:r>
    </w:p>
    <w:p w:rsidR="00415B30" w:rsidRPr="00055994" w:rsidRDefault="00415B30" w:rsidP="00415B30">
      <w:pPr>
        <w:numPr>
          <w:ilvl w:val="3"/>
          <w:numId w:val="1"/>
        </w:numPr>
        <w:spacing w:before="0" w:after="0" w:line="240" w:lineRule="auto"/>
        <w:rPr>
          <w:rFonts w:ascii="Times New Roman" w:hAnsi="Times New Roman"/>
          <w:sz w:val="22"/>
          <w:szCs w:val="22"/>
        </w:rPr>
      </w:pPr>
      <w:r w:rsidRPr="00055994">
        <w:rPr>
          <w:rFonts w:ascii="Times New Roman" w:hAnsi="Times New Roman"/>
          <w:sz w:val="22"/>
          <w:szCs w:val="22"/>
        </w:rPr>
        <w:t>Program Resources</w:t>
      </w:r>
    </w:p>
    <w:p w:rsidR="00415B30" w:rsidRPr="00055994" w:rsidRDefault="00415B30" w:rsidP="00415B30">
      <w:pPr>
        <w:spacing w:before="0" w:after="0" w:line="240" w:lineRule="auto"/>
        <w:ind w:left="720"/>
        <w:rPr>
          <w:rFonts w:ascii="Times New Roman" w:hAnsi="Times New Roman"/>
          <w:sz w:val="22"/>
          <w:szCs w:val="22"/>
        </w:rPr>
      </w:pPr>
      <w:r w:rsidRPr="00055994">
        <w:rPr>
          <w:rFonts w:ascii="Times New Roman" w:hAnsi="Times New Roman"/>
          <w:sz w:val="22"/>
          <w:szCs w:val="22"/>
        </w:rPr>
        <w:t xml:space="preserve">     4.</w:t>
      </w:r>
      <w:r w:rsidRPr="00055994">
        <w:rPr>
          <w:rFonts w:ascii="Times New Roman" w:hAnsi="Times New Roman"/>
          <w:sz w:val="22"/>
          <w:szCs w:val="22"/>
        </w:rPr>
        <w:tab/>
        <w:t>Degree requirements</w:t>
      </w:r>
    </w:p>
    <w:p w:rsidR="00415B30" w:rsidRPr="00055994" w:rsidRDefault="00415B30" w:rsidP="00415B30">
      <w:pPr>
        <w:spacing w:before="0" w:after="0" w:line="240" w:lineRule="auto"/>
        <w:ind w:left="720"/>
        <w:rPr>
          <w:rFonts w:ascii="Times New Roman" w:hAnsi="Times New Roman"/>
          <w:sz w:val="22"/>
          <w:szCs w:val="22"/>
        </w:rPr>
      </w:pPr>
      <w:r w:rsidRPr="00055994">
        <w:rPr>
          <w:rFonts w:ascii="Times New Roman" w:hAnsi="Times New Roman"/>
          <w:sz w:val="22"/>
          <w:szCs w:val="22"/>
        </w:rPr>
        <w:t xml:space="preserve">     5.</w:t>
      </w:r>
      <w:r w:rsidRPr="00055994">
        <w:rPr>
          <w:rFonts w:ascii="Times New Roman" w:hAnsi="Times New Roman"/>
          <w:sz w:val="22"/>
          <w:szCs w:val="22"/>
        </w:rPr>
        <w:tab/>
        <w:t>Consultant’s curriculum vitae</w:t>
      </w:r>
    </w:p>
    <w:p w:rsidR="00415B30" w:rsidRPr="00055994" w:rsidRDefault="00415B30" w:rsidP="00415B30">
      <w:pPr>
        <w:spacing w:before="0" w:after="0" w:line="240" w:lineRule="auto"/>
        <w:ind w:left="720"/>
        <w:rPr>
          <w:rFonts w:ascii="Times New Roman" w:hAnsi="Times New Roman"/>
          <w:sz w:val="22"/>
          <w:szCs w:val="22"/>
        </w:rPr>
      </w:pPr>
      <w:r w:rsidRPr="00055994">
        <w:rPr>
          <w:rFonts w:ascii="Times New Roman" w:hAnsi="Times New Roman"/>
          <w:sz w:val="22"/>
          <w:szCs w:val="22"/>
        </w:rPr>
        <w:t xml:space="preserve">     6.</w:t>
      </w:r>
      <w:r w:rsidRPr="00055994">
        <w:rPr>
          <w:rFonts w:ascii="Times New Roman" w:hAnsi="Times New Roman"/>
          <w:sz w:val="22"/>
          <w:szCs w:val="22"/>
        </w:rPr>
        <w:tab/>
        <w:t>Consultant’s report</w:t>
      </w:r>
      <w:r>
        <w:rPr>
          <w:rFonts w:ascii="Times New Roman" w:hAnsi="Times New Roman"/>
          <w:sz w:val="22"/>
          <w:szCs w:val="22"/>
        </w:rPr>
        <w:t xml:space="preserve"> – </w:t>
      </w:r>
      <w:hyperlink r:id="rId8" w:history="1">
        <w:r w:rsidRPr="00A0495C">
          <w:rPr>
            <w:rStyle w:val="Hyperlink"/>
            <w:rFonts w:ascii="Times New Roman" w:hAnsi="Times New Roman"/>
            <w:sz w:val="22"/>
            <w:szCs w:val="22"/>
          </w:rPr>
          <w:t>See AIC Manual</w:t>
        </w:r>
      </w:hyperlink>
    </w:p>
    <w:p w:rsidR="00415B30" w:rsidRPr="00055994" w:rsidRDefault="00415B30" w:rsidP="00415B30">
      <w:pPr>
        <w:spacing w:before="0" w:after="0" w:line="240" w:lineRule="auto"/>
        <w:ind w:left="720"/>
        <w:rPr>
          <w:rFonts w:ascii="Times New Roman" w:hAnsi="Times New Roman"/>
          <w:sz w:val="22"/>
          <w:szCs w:val="22"/>
        </w:rPr>
      </w:pPr>
      <w:r w:rsidRPr="00055994">
        <w:rPr>
          <w:rFonts w:ascii="Times New Roman" w:hAnsi="Times New Roman"/>
          <w:sz w:val="22"/>
          <w:szCs w:val="22"/>
        </w:rPr>
        <w:lastRenderedPageBreak/>
        <w:t xml:space="preserve">     7.</w:t>
      </w:r>
      <w:r w:rsidRPr="00055994">
        <w:rPr>
          <w:rFonts w:ascii="Times New Roman" w:hAnsi="Times New Roman"/>
          <w:sz w:val="22"/>
          <w:szCs w:val="22"/>
        </w:rPr>
        <w:tab/>
        <w:t>Institutional Response to the Consultant’s Report</w:t>
      </w:r>
    </w:p>
    <w:p w:rsidR="00415B30" w:rsidRPr="00055994" w:rsidRDefault="00415B30" w:rsidP="00415B30">
      <w:pPr>
        <w:spacing w:before="0" w:after="0" w:line="240" w:lineRule="auto"/>
        <w:ind w:left="720"/>
        <w:rPr>
          <w:rFonts w:ascii="Times New Roman" w:hAnsi="Times New Roman"/>
          <w:sz w:val="22"/>
          <w:szCs w:val="22"/>
        </w:rPr>
      </w:pPr>
      <w:r w:rsidRPr="00055994">
        <w:rPr>
          <w:rFonts w:ascii="Times New Roman" w:hAnsi="Times New Roman"/>
          <w:sz w:val="22"/>
          <w:szCs w:val="22"/>
        </w:rPr>
        <w:t xml:space="preserve">     8.</w:t>
      </w:r>
      <w:r w:rsidRPr="00055994">
        <w:rPr>
          <w:rFonts w:ascii="Times New Roman" w:hAnsi="Times New Roman"/>
          <w:sz w:val="22"/>
          <w:szCs w:val="22"/>
        </w:rPr>
        <w:tab/>
        <w:t>Board of Trustees’ Resolution</w:t>
      </w:r>
    </w:p>
    <w:p w:rsidR="00415B30" w:rsidRPr="00055994" w:rsidRDefault="00415B30" w:rsidP="00415B30">
      <w:pPr>
        <w:spacing w:before="0" w:after="0" w:line="240" w:lineRule="auto"/>
        <w:ind w:left="720"/>
        <w:rPr>
          <w:rFonts w:ascii="Times New Roman" w:hAnsi="Times New Roman"/>
          <w:sz w:val="22"/>
          <w:szCs w:val="22"/>
        </w:rPr>
      </w:pPr>
      <w:r w:rsidRPr="00055994">
        <w:rPr>
          <w:rFonts w:ascii="Times New Roman" w:hAnsi="Times New Roman"/>
          <w:sz w:val="22"/>
          <w:szCs w:val="22"/>
        </w:rPr>
        <w:t xml:space="preserve">     9.</w:t>
      </w:r>
      <w:r w:rsidRPr="00055994">
        <w:rPr>
          <w:rFonts w:ascii="Times New Roman" w:hAnsi="Times New Roman"/>
          <w:sz w:val="22"/>
          <w:szCs w:val="22"/>
        </w:rPr>
        <w:tab/>
        <w:t>Institutional Responses</w:t>
      </w:r>
    </w:p>
    <w:p w:rsidR="00415B30" w:rsidRPr="00DC69EA" w:rsidRDefault="00415B30" w:rsidP="00415B30">
      <w:pPr>
        <w:spacing w:before="0" w:after="0" w:line="240" w:lineRule="auto"/>
        <w:ind w:left="1080"/>
        <w:rPr>
          <w:rFonts w:ascii="Times New Roman" w:hAnsi="Times New Roman"/>
          <w:sz w:val="22"/>
          <w:szCs w:val="22"/>
        </w:rPr>
      </w:pPr>
      <w:r w:rsidRPr="00055994">
        <w:rPr>
          <w:rFonts w:ascii="Times New Roman" w:hAnsi="Times New Roman"/>
          <w:sz w:val="22"/>
          <w:szCs w:val="22"/>
        </w:rPr>
        <w:tab/>
        <w:t>* Statement of “no objections</w:t>
      </w:r>
      <w:r w:rsidRPr="00DC69EA">
        <w:rPr>
          <w:rFonts w:ascii="Times New Roman" w:hAnsi="Times New Roman"/>
          <w:sz w:val="22"/>
          <w:szCs w:val="22"/>
        </w:rPr>
        <w:t>”   (if objections, then include objecting institutions, responses and information about reconciliation efforts)</w:t>
      </w:r>
    </w:p>
    <w:p w:rsidR="00415B30" w:rsidRDefault="00415B30" w:rsidP="00415B30">
      <w:pPr>
        <w:spacing w:before="0" w:after="0" w:line="240" w:lineRule="auto"/>
        <w:rPr>
          <w:rFonts w:ascii="Times New Roman" w:hAnsi="Times New Roman"/>
          <w:sz w:val="22"/>
          <w:szCs w:val="22"/>
        </w:rPr>
      </w:pPr>
    </w:p>
    <w:p w:rsidR="00415B30" w:rsidRPr="00055994" w:rsidRDefault="00415B30" w:rsidP="00415B30">
      <w:pPr>
        <w:spacing w:before="0" w:after="0" w:line="240" w:lineRule="auto"/>
        <w:rPr>
          <w:rFonts w:ascii="Times New Roman" w:hAnsi="Times New Roman"/>
          <w:sz w:val="22"/>
          <w:szCs w:val="22"/>
        </w:rPr>
      </w:pPr>
      <w:r w:rsidRPr="00055994">
        <w:rPr>
          <w:rFonts w:ascii="Times New Roman" w:hAnsi="Times New Roman"/>
          <w:sz w:val="22"/>
          <w:szCs w:val="22"/>
        </w:rPr>
        <w:t>Possible Outcomes</w:t>
      </w:r>
      <w:r>
        <w:rPr>
          <w:rFonts w:ascii="Times New Roman" w:hAnsi="Times New Roman"/>
          <w:sz w:val="22"/>
          <w:szCs w:val="22"/>
        </w:rPr>
        <w:t xml:space="preserve"> following review by AIC:</w:t>
      </w:r>
    </w:p>
    <w:p w:rsidR="00415B30" w:rsidRDefault="00415B30" w:rsidP="00415B30">
      <w:pPr>
        <w:spacing w:before="0" w:after="0" w:line="240" w:lineRule="auto"/>
        <w:rPr>
          <w:rFonts w:ascii="Times New Roman" w:hAnsi="Times New Roman"/>
          <w:sz w:val="22"/>
          <w:szCs w:val="22"/>
        </w:rPr>
      </w:pPr>
    </w:p>
    <w:p w:rsidR="00415B30" w:rsidRDefault="00415B30" w:rsidP="00415B30">
      <w:pPr>
        <w:spacing w:before="0" w:after="0" w:line="240" w:lineRule="auto"/>
        <w:rPr>
          <w:rFonts w:ascii="Times New Roman" w:hAnsi="Times New Roman"/>
          <w:sz w:val="22"/>
          <w:szCs w:val="22"/>
        </w:rPr>
      </w:pPr>
      <w:r w:rsidRPr="00055994">
        <w:rPr>
          <w:rFonts w:ascii="Times New Roman" w:hAnsi="Times New Roman"/>
          <w:sz w:val="22"/>
          <w:szCs w:val="22"/>
        </w:rPr>
        <w:t>If the Academic Issues Committee determines</w:t>
      </w:r>
      <w:r>
        <w:rPr>
          <w:rFonts w:ascii="Times New Roman" w:hAnsi="Times New Roman"/>
          <w:sz w:val="22"/>
          <w:szCs w:val="22"/>
        </w:rPr>
        <w:t xml:space="preserve"> there are outstanding issues and/or questions remaining in regard to the proposal, the proposal will be returned to the institution for modification and/or correction before resubmission.  The AIC must provide specific reasons for the return of the proposal.  In its resubmission, the institution should provide responses to the issues raised by the AIC and include a copy of the original proposal.  The institution may choose not to resubmit.</w:t>
      </w:r>
    </w:p>
    <w:p w:rsidR="00415B30" w:rsidRDefault="00415B30" w:rsidP="00415B30">
      <w:pPr>
        <w:spacing w:before="0" w:after="0" w:line="240" w:lineRule="auto"/>
        <w:rPr>
          <w:rFonts w:ascii="Times New Roman" w:hAnsi="Times New Roman"/>
          <w:sz w:val="22"/>
          <w:szCs w:val="22"/>
        </w:rPr>
      </w:pPr>
    </w:p>
    <w:p w:rsidR="00415B30" w:rsidRDefault="00415B30" w:rsidP="00415B30">
      <w:pPr>
        <w:spacing w:before="0" w:after="0" w:line="240" w:lineRule="auto"/>
        <w:rPr>
          <w:rFonts w:ascii="Times New Roman" w:hAnsi="Times New Roman"/>
          <w:sz w:val="22"/>
          <w:szCs w:val="22"/>
        </w:rPr>
      </w:pPr>
      <w:r>
        <w:rPr>
          <w:rFonts w:ascii="Times New Roman" w:hAnsi="Times New Roman"/>
          <w:sz w:val="22"/>
          <w:szCs w:val="22"/>
        </w:rPr>
        <w:t>If the AIC identifies a concern with respect to the program exceeding programmatic mission, it will make a recommendation to NJPC which, in turn, will make a recommendation to the Secretary of Higher Education. If AIC identifies concern regarding the proposed program being unduly expensive or duplicative, it may seek to resolve differences through informal mediation or hearing.  If NJPC determines the program is unduly costly or duplicative, it will be referred to Secretary of Higher Education for review.</w:t>
      </w:r>
    </w:p>
    <w:p w:rsidR="00415B30" w:rsidRPr="00055994" w:rsidRDefault="00415B30" w:rsidP="00415B30">
      <w:pPr>
        <w:spacing w:before="0" w:after="0" w:line="240" w:lineRule="auto"/>
        <w:rPr>
          <w:rFonts w:ascii="Times New Roman" w:hAnsi="Times New Roman"/>
          <w:sz w:val="22"/>
          <w:szCs w:val="22"/>
        </w:rPr>
      </w:pPr>
    </w:p>
    <w:p w:rsidR="00415B30" w:rsidRDefault="00415B30" w:rsidP="00415B30">
      <w:pPr>
        <w:spacing w:before="0" w:after="0" w:line="240" w:lineRule="auto"/>
        <w:rPr>
          <w:rFonts w:ascii="Times New Roman" w:hAnsi="Times New Roman"/>
          <w:sz w:val="22"/>
          <w:szCs w:val="22"/>
        </w:rPr>
      </w:pPr>
      <w:r w:rsidRPr="00055994">
        <w:rPr>
          <w:rFonts w:ascii="Times New Roman" w:hAnsi="Times New Roman"/>
          <w:sz w:val="22"/>
          <w:szCs w:val="22"/>
        </w:rPr>
        <w:t xml:space="preserve">If the Academic Issues Committee determines there are </w:t>
      </w:r>
      <w:r>
        <w:rPr>
          <w:rFonts w:ascii="Times New Roman" w:hAnsi="Times New Roman"/>
          <w:sz w:val="22"/>
          <w:szCs w:val="22"/>
        </w:rPr>
        <w:t xml:space="preserve">no outstanding issues and/or </w:t>
      </w:r>
      <w:r w:rsidRPr="00055994">
        <w:rPr>
          <w:rFonts w:ascii="Times New Roman" w:hAnsi="Times New Roman"/>
          <w:sz w:val="22"/>
          <w:szCs w:val="22"/>
        </w:rPr>
        <w:t xml:space="preserve">questions </w:t>
      </w:r>
      <w:r>
        <w:rPr>
          <w:rFonts w:ascii="Times New Roman" w:hAnsi="Times New Roman"/>
          <w:sz w:val="22"/>
          <w:szCs w:val="22"/>
        </w:rPr>
        <w:t>remaining in regard to the proposal, it will make a favorable recommendation to the NJPC.  If the NJPC concurs, the result of a favorable review will be conveyed to the proposing institution within fifteen days and the program may be implemented.</w:t>
      </w:r>
    </w:p>
    <w:p w:rsidR="00415B30" w:rsidRDefault="00415B30" w:rsidP="00415B30">
      <w:pPr>
        <w:spacing w:before="0" w:after="0" w:line="240" w:lineRule="auto"/>
        <w:rPr>
          <w:rFonts w:ascii="Times New Roman" w:hAnsi="Times New Roman"/>
          <w:sz w:val="22"/>
          <w:szCs w:val="22"/>
        </w:rPr>
      </w:pPr>
    </w:p>
    <w:p w:rsidR="00415B30" w:rsidRPr="00055994" w:rsidRDefault="00415B30" w:rsidP="00415B30">
      <w:pPr>
        <w:spacing w:before="0" w:after="0" w:line="240" w:lineRule="auto"/>
        <w:rPr>
          <w:rFonts w:ascii="Times New Roman" w:hAnsi="Times New Roman"/>
          <w:sz w:val="22"/>
          <w:szCs w:val="22"/>
        </w:rPr>
      </w:pPr>
      <w:r>
        <w:rPr>
          <w:rFonts w:ascii="Times New Roman" w:hAnsi="Times New Roman"/>
          <w:sz w:val="22"/>
          <w:szCs w:val="22"/>
        </w:rPr>
        <w:t xml:space="preserve">Notification of the favorable review of all new degree programs will be sent by the NJPC to the higher education community for information and to the OSHE and to the New Jersey State Department of Military and Veterans Affairs for record-keeping purposes.  A current inventory of authorized degree </w:t>
      </w:r>
      <w:r>
        <w:rPr>
          <w:rFonts w:ascii="Times New Roman" w:hAnsi="Times New Roman"/>
          <w:sz w:val="22"/>
          <w:szCs w:val="22"/>
        </w:rPr>
        <w:t xml:space="preserve">programs on the OSHE website at: </w:t>
      </w:r>
      <w:bookmarkStart w:id="0" w:name="_GoBack"/>
      <w:bookmarkEnd w:id="0"/>
      <w:r w:rsidR="004A110E">
        <w:rPr>
          <w:rStyle w:val="Hyperlink"/>
          <w:rFonts w:ascii="Times New Roman" w:hAnsi="Times New Roman"/>
          <w:sz w:val="22"/>
          <w:szCs w:val="22"/>
        </w:rPr>
        <w:fldChar w:fldCharType="begin"/>
      </w:r>
      <w:r w:rsidR="004A110E">
        <w:rPr>
          <w:rStyle w:val="Hyperlink"/>
          <w:rFonts w:ascii="Times New Roman" w:hAnsi="Times New Roman"/>
          <w:sz w:val="22"/>
          <w:szCs w:val="22"/>
        </w:rPr>
        <w:instrText xml:space="preserve"> HYPERLINK "</w:instrText>
      </w:r>
      <w:r w:rsidR="004A110E" w:rsidRPr="004A110E">
        <w:rPr>
          <w:rStyle w:val="Hyperlink"/>
          <w:rFonts w:ascii="Times New Roman" w:hAnsi="Times New Roman"/>
          <w:sz w:val="22"/>
          <w:szCs w:val="22"/>
        </w:rPr>
        <w:instrText>https://www.state.nj.us/highereducation/Program_Inventory/index.shtml</w:instrText>
      </w:r>
      <w:r w:rsidR="004A110E">
        <w:rPr>
          <w:rStyle w:val="Hyperlink"/>
          <w:rFonts w:ascii="Times New Roman" w:hAnsi="Times New Roman"/>
          <w:sz w:val="22"/>
          <w:szCs w:val="22"/>
        </w:rPr>
        <w:instrText xml:space="preserve">" </w:instrText>
      </w:r>
      <w:r w:rsidR="004A110E">
        <w:rPr>
          <w:rStyle w:val="Hyperlink"/>
          <w:rFonts w:ascii="Times New Roman" w:hAnsi="Times New Roman"/>
          <w:sz w:val="22"/>
          <w:szCs w:val="22"/>
        </w:rPr>
        <w:fldChar w:fldCharType="separate"/>
      </w:r>
      <w:r w:rsidR="004A110E" w:rsidRPr="00850B18">
        <w:rPr>
          <w:rStyle w:val="Hyperlink"/>
          <w:rFonts w:ascii="Times New Roman" w:hAnsi="Times New Roman"/>
          <w:sz w:val="22"/>
          <w:szCs w:val="22"/>
        </w:rPr>
        <w:t>https://www.state.nj.us/highereducation/Program_Inventory/index.shtml</w:t>
      </w:r>
      <w:r w:rsidR="004A110E">
        <w:rPr>
          <w:rStyle w:val="Hyperlink"/>
          <w:rFonts w:ascii="Times New Roman" w:hAnsi="Times New Roman"/>
          <w:sz w:val="22"/>
          <w:szCs w:val="22"/>
        </w:rPr>
        <w:fldChar w:fldCharType="end"/>
      </w:r>
    </w:p>
    <w:p w:rsidR="00415B30" w:rsidRDefault="00415B30" w:rsidP="00415B30">
      <w:pPr>
        <w:spacing w:before="0" w:after="0" w:line="240" w:lineRule="auto"/>
        <w:rPr>
          <w:rFonts w:ascii="Times New Roman" w:hAnsi="Times New Roman"/>
          <w:sz w:val="22"/>
          <w:szCs w:val="22"/>
        </w:rPr>
      </w:pPr>
    </w:p>
    <w:sectPr w:rsidR="00415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8150D"/>
    <w:multiLevelType w:val="hybridMultilevel"/>
    <w:tmpl w:val="645A41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9823D2"/>
    <w:multiLevelType w:val="hybridMultilevel"/>
    <w:tmpl w:val="A3EE5B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EEF4B420">
      <w:start w:val="1"/>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985131E"/>
    <w:multiLevelType w:val="hybridMultilevel"/>
    <w:tmpl w:val="2DB87764"/>
    <w:lvl w:ilvl="0" w:tplc="17B6EB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0611C4"/>
    <w:multiLevelType w:val="hybridMultilevel"/>
    <w:tmpl w:val="B700219E"/>
    <w:lvl w:ilvl="0" w:tplc="7D00E2EA">
      <w:start w:val="1"/>
      <w:numFmt w:val="decimal"/>
      <w:lvlText w:val="%1."/>
      <w:lvlJc w:val="left"/>
      <w:pPr>
        <w:ind w:left="1440" w:hanging="360"/>
      </w:pPr>
      <w:rPr>
        <w:rFonts w:hint="default"/>
      </w:rPr>
    </w:lvl>
    <w:lvl w:ilvl="1" w:tplc="326E059A">
      <w:numFmt w:val="bullet"/>
      <w:lvlText w:val=""/>
      <w:lvlJc w:val="left"/>
      <w:pPr>
        <w:ind w:left="2520" w:hanging="720"/>
      </w:pPr>
      <w:rPr>
        <w:rFonts w:ascii="Wingdings 2" w:eastAsia="Times New Roman" w:hAnsi="Wingdings 2"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D5D266D"/>
    <w:multiLevelType w:val="hybridMultilevel"/>
    <w:tmpl w:val="21646868"/>
    <w:lvl w:ilvl="0" w:tplc="A402773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30"/>
    <w:rsid w:val="00415B30"/>
    <w:rsid w:val="004A110E"/>
    <w:rsid w:val="00FD1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64110"/>
  <w15:chartTrackingRefBased/>
  <w15:docId w15:val="{D0557950-33B0-4005-9CC4-AF5CDF3C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B30"/>
    <w:pPr>
      <w:spacing w:before="100" w:after="200" w:line="276" w:lineRule="auto"/>
    </w:pPr>
    <w:rPr>
      <w:rFonts w:ascii="Calibri" w:eastAsia="Times New Roman"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15B30"/>
    <w:rPr>
      <w:color w:val="0000FF"/>
      <w:u w:val="single"/>
    </w:rPr>
  </w:style>
  <w:style w:type="paragraph" w:styleId="BalloonText">
    <w:name w:val="Balloon Text"/>
    <w:basedOn w:val="Normal"/>
    <w:link w:val="BalloonTextChar"/>
    <w:uiPriority w:val="99"/>
    <w:semiHidden/>
    <w:unhideWhenUsed/>
    <w:rsid w:val="004A110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10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jpc.org/documents/aic-manual-2018-19-2/view" TargetMode="External"/><Relationship Id="rId3" Type="http://schemas.openxmlformats.org/officeDocument/2006/relationships/settings" Target="settings.xml"/><Relationship Id="rId7" Type="http://schemas.openxmlformats.org/officeDocument/2006/relationships/hyperlink" Target="http://njpc.org/documents/aic-manual-2018-19-2/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jpc.org/documents/aic-manual-2018-19-2/view" TargetMode="External"/><Relationship Id="rId5" Type="http://schemas.openxmlformats.org/officeDocument/2006/relationships/hyperlink" Target="http://www.brookdalecc.edu/documents/Vice%20President%20for%20Learning/New-Program-Form.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Brookdale Community College</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Henn</dc:creator>
  <cp:keywords/>
  <dc:description/>
  <cp:lastModifiedBy>Patricia Henn</cp:lastModifiedBy>
  <cp:revision>2</cp:revision>
  <cp:lastPrinted>2019-08-13T14:10:00Z</cp:lastPrinted>
  <dcterms:created xsi:type="dcterms:W3CDTF">2019-08-13T14:08:00Z</dcterms:created>
  <dcterms:modified xsi:type="dcterms:W3CDTF">2019-08-13T14:20:00Z</dcterms:modified>
</cp:coreProperties>
</file>